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INTERNÁ SMERNICA</w:t>
      </w:r>
    </w:p>
    <w:p w:rsidR="00C93092" w:rsidRDefault="00C93092" w:rsidP="00C93092">
      <w:pPr>
        <w:shd w:val="clear" w:color="auto" w:fill="FFFFFF"/>
        <w:spacing w:before="100" w:beforeAutospacing="1" w:after="100" w:afterAutospacing="1"/>
        <w:rPr>
          <w:b/>
          <w:bCs/>
          <w:color w:val="222222"/>
        </w:rPr>
      </w:pPr>
      <w:r>
        <w:rPr>
          <w:b/>
          <w:bCs/>
          <w:color w:val="222222"/>
        </w:rPr>
        <w:t xml:space="preserve">o postupe podávania, preverovania a evidovania podnetov podávaných v zmysle zákona č. 54/2019 </w:t>
      </w:r>
      <w:proofErr w:type="spellStart"/>
      <w:r>
        <w:rPr>
          <w:b/>
          <w:bCs/>
          <w:color w:val="222222"/>
        </w:rPr>
        <w:t>Z.z</w:t>
      </w:r>
      <w:proofErr w:type="spellEnd"/>
      <w:r>
        <w:rPr>
          <w:b/>
          <w:bCs/>
          <w:color w:val="222222"/>
        </w:rPr>
        <w:t xml:space="preserve">. ochrane oznamovateľov protispoločenskej činnosti a o zmene a doplnení niektorých </w:t>
      </w:r>
      <w:proofErr w:type="spellStart"/>
      <w:r>
        <w:rPr>
          <w:b/>
          <w:bCs/>
          <w:color w:val="222222"/>
        </w:rPr>
        <w:t>zákonv</w:t>
      </w:r>
      <w:proofErr w:type="spellEnd"/>
    </w:p>
    <w:p w:rsidR="00C93092" w:rsidRPr="00EA6B5C" w:rsidRDefault="00C93092" w:rsidP="00C93092">
      <w:pPr>
        <w:shd w:val="clear" w:color="auto" w:fill="FFFFFF"/>
        <w:spacing w:before="100" w:beforeAutospacing="1" w:after="100" w:afterAutospacing="1"/>
        <w:rPr>
          <w:b/>
          <w:bCs/>
          <w:color w:val="222222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</w:t>
      </w: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22222"/>
          <w:sz w:val="20"/>
          <w:szCs w:val="20"/>
        </w:rPr>
      </w:pP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lastRenderedPageBreak/>
        <w:t>Čl. I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Úvodné ustanovenia</w:t>
      </w:r>
    </w:p>
    <w:p w:rsidR="00C93092" w:rsidRDefault="00C93092" w:rsidP="00C9309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Smernica sa vydáva v zmysle zákona č. </w:t>
      </w:r>
      <w:r w:rsidRPr="00362655">
        <w:rPr>
          <w:color w:val="222222"/>
          <w:sz w:val="20"/>
          <w:szCs w:val="20"/>
        </w:rPr>
        <w:t>č. 54/2019 Z. z.. o ochrane oznamovateľov protispoločenskej činnosti a o zmene a doplnení niektorých zákonov (ďalej aj ako  „zákon č. 54/2019 Z.</w:t>
      </w:r>
      <w:r>
        <w:rPr>
          <w:color w:val="222222"/>
          <w:sz w:val="20"/>
          <w:szCs w:val="20"/>
        </w:rPr>
        <w:t xml:space="preserve"> </w:t>
      </w:r>
      <w:r w:rsidRPr="00362655">
        <w:rPr>
          <w:color w:val="222222"/>
          <w:sz w:val="20"/>
          <w:szCs w:val="20"/>
        </w:rPr>
        <w:t>z.</w:t>
      </w:r>
      <w:r>
        <w:rPr>
          <w:color w:val="222222"/>
          <w:sz w:val="20"/>
          <w:szCs w:val="20"/>
        </w:rPr>
        <w:t>“</w:t>
      </w:r>
      <w:r w:rsidRPr="00362655">
        <w:rPr>
          <w:color w:val="222222"/>
          <w:sz w:val="20"/>
          <w:szCs w:val="20"/>
        </w:rPr>
        <w:t xml:space="preserve"> v nadväznosti na zákon č. 18/2018 Z. z. o ochrane osobných údajov a o zmene a doplnení niektorých zákonov, ktorý upravuje podmienky poskytovania ochrany osobám pred neoprávneným postihom v pracovnoprávnom vzťahu </w:t>
      </w:r>
      <w:r>
        <w:rPr>
          <w:color w:val="222222"/>
          <w:sz w:val="20"/>
          <w:szCs w:val="20"/>
        </w:rPr>
        <w:t xml:space="preserve">zamestnanca k zamestnávateľovi </w:t>
      </w:r>
      <w:r w:rsidRPr="00362655">
        <w:rPr>
          <w:color w:val="222222"/>
          <w:sz w:val="20"/>
          <w:szCs w:val="20"/>
        </w:rPr>
        <w:t>v súvislosti s oznamovaním kriminality alebo inej protispoločenskej činnosti a práva a povinnosti fyzických a právnických osôb pri oznamovaní protispoločenskej činnosti.</w:t>
      </w:r>
    </w:p>
    <w:p w:rsidR="00C93092" w:rsidRPr="00362655" w:rsidRDefault="00C93092" w:rsidP="00C9309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Obec Hronovce  ,ako orgán verejnej moci je povinná podľa §10 odsek 1 a odsek 8  Zákona č. 54/2019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 xml:space="preserve">.  vydať interný predpis , v ktorom určí podrobnosti </w:t>
      </w:r>
      <w:proofErr w:type="spellStart"/>
      <w:r>
        <w:rPr>
          <w:color w:val="222222"/>
          <w:sz w:val="20"/>
          <w:szCs w:val="20"/>
        </w:rPr>
        <w:t>viažúce</w:t>
      </w:r>
      <w:proofErr w:type="spellEnd"/>
      <w:r>
        <w:rPr>
          <w:color w:val="222222"/>
          <w:sz w:val="20"/>
          <w:szCs w:val="20"/>
        </w:rPr>
        <w:t xml:space="preserve"> sa k účinnosti citovaného zákona .</w:t>
      </w:r>
    </w:p>
    <w:p w:rsidR="00C93092" w:rsidRPr="004D69E8" w:rsidRDefault="00C93092" w:rsidP="00C9309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Táto smernica upravuje </w:t>
      </w:r>
      <w:r w:rsidRPr="004D69E8">
        <w:rPr>
          <w:color w:val="222222"/>
          <w:sz w:val="20"/>
          <w:szCs w:val="20"/>
        </w:rPr>
        <w:t>vlastné podmienky</w:t>
      </w:r>
      <w:r>
        <w:rPr>
          <w:color w:val="222222"/>
          <w:sz w:val="20"/>
          <w:szCs w:val="20"/>
        </w:rPr>
        <w:t xml:space="preserve"> </w:t>
      </w:r>
      <w:r w:rsidRPr="004D69E8">
        <w:rPr>
          <w:color w:val="222222"/>
          <w:sz w:val="20"/>
          <w:szCs w:val="20"/>
        </w:rPr>
        <w:t xml:space="preserve"> podrobnosti pri prijímaní a vybavovaní oznámení a podnetov o protispoločenskej činnosti </w:t>
      </w:r>
      <w:r>
        <w:rPr>
          <w:color w:val="222222"/>
          <w:sz w:val="20"/>
          <w:szCs w:val="20"/>
        </w:rPr>
        <w:t>v súlade s ustanovením § 11</w:t>
      </w:r>
      <w:r w:rsidRPr="004D69E8">
        <w:rPr>
          <w:color w:val="222222"/>
          <w:sz w:val="20"/>
          <w:szCs w:val="20"/>
        </w:rPr>
        <w:t xml:space="preserve"> zákona </w:t>
      </w:r>
      <w:r>
        <w:rPr>
          <w:color w:val="222222"/>
          <w:sz w:val="20"/>
          <w:szCs w:val="20"/>
        </w:rPr>
        <w:t xml:space="preserve">č. </w:t>
      </w:r>
      <w:r w:rsidRPr="00362655">
        <w:rPr>
          <w:color w:val="222222"/>
          <w:sz w:val="20"/>
          <w:szCs w:val="20"/>
        </w:rPr>
        <w:t>54/2019 Z.</w:t>
      </w:r>
      <w:r>
        <w:rPr>
          <w:color w:val="222222"/>
          <w:sz w:val="20"/>
          <w:szCs w:val="20"/>
        </w:rPr>
        <w:t xml:space="preserve"> </w:t>
      </w:r>
      <w:r w:rsidRPr="00362655">
        <w:rPr>
          <w:color w:val="222222"/>
          <w:sz w:val="20"/>
          <w:szCs w:val="20"/>
        </w:rPr>
        <w:t>z.</w:t>
      </w:r>
      <w:r>
        <w:rPr>
          <w:color w:val="222222"/>
          <w:sz w:val="20"/>
          <w:szCs w:val="20"/>
        </w:rPr>
        <w:t>.</w:t>
      </w:r>
    </w:p>
    <w:p w:rsidR="00C93092" w:rsidRDefault="00C93092" w:rsidP="00C9309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Smernica je záväzná pre</w:t>
      </w:r>
      <w:r>
        <w:rPr>
          <w:color w:val="222222"/>
          <w:sz w:val="20"/>
          <w:szCs w:val="20"/>
        </w:rPr>
        <w:t xml:space="preserve">  všetkých </w:t>
      </w:r>
      <w:r w:rsidRPr="004D69E8">
        <w:rPr>
          <w:color w:val="222222"/>
          <w:sz w:val="20"/>
          <w:szCs w:val="20"/>
        </w:rPr>
        <w:t xml:space="preserve"> zamestnancov</w:t>
      </w:r>
      <w:r>
        <w:rPr>
          <w:color w:val="222222"/>
          <w:sz w:val="20"/>
          <w:szCs w:val="20"/>
        </w:rPr>
        <w:t xml:space="preserve"> Obce Hronovce ako</w:t>
      </w:r>
      <w:r w:rsidRPr="004D69E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zamestnávateľa, a jeho štatutárneho zástupcu , ako aj pre zamestnancov rozpočtových organizácií v zriaďovateľskej pôsobnosti obce Hronovce.</w:t>
      </w:r>
    </w:p>
    <w:p w:rsidR="00C93092" w:rsidRPr="00633108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ind w:left="720"/>
        <w:jc w:val="both"/>
        <w:rPr>
          <w:color w:val="222222"/>
          <w:sz w:val="20"/>
          <w:szCs w:val="20"/>
        </w:rPr>
      </w:pP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Čl. II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Základné pojmy</w:t>
      </w:r>
    </w:p>
    <w:p w:rsidR="00C93092" w:rsidRPr="00F46A11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Oznamovateľmi sa v</w:t>
      </w:r>
      <w:r>
        <w:rPr>
          <w:color w:val="222222"/>
          <w:sz w:val="20"/>
          <w:szCs w:val="20"/>
        </w:rPr>
        <w:t> </w:t>
      </w:r>
      <w:r w:rsidRPr="004D69E8">
        <w:rPr>
          <w:color w:val="222222"/>
          <w:sz w:val="20"/>
          <w:szCs w:val="20"/>
        </w:rPr>
        <w:t>podmienkach</w:t>
      </w:r>
      <w:r>
        <w:rPr>
          <w:color w:val="222222"/>
          <w:sz w:val="20"/>
          <w:szCs w:val="20"/>
        </w:rPr>
        <w:t xml:space="preserve"> zamestnávateľa </w:t>
      </w:r>
      <w:r w:rsidRPr="004D69E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, ktorý vydáva túto smernicu </w:t>
      </w:r>
      <w:r w:rsidRPr="00F67963">
        <w:rPr>
          <w:color w:val="222222"/>
          <w:sz w:val="20"/>
          <w:szCs w:val="20"/>
        </w:rPr>
        <w:t>rozumejú</w:t>
      </w:r>
      <w:r>
        <w:rPr>
          <w:color w:val="222222"/>
          <w:sz w:val="20"/>
          <w:szCs w:val="20"/>
        </w:rPr>
        <w:t xml:space="preserve">  </w:t>
      </w:r>
      <w:r w:rsidRPr="00F46A11">
        <w:rPr>
          <w:color w:val="222222"/>
          <w:sz w:val="20"/>
          <w:szCs w:val="20"/>
        </w:rPr>
        <w:t xml:space="preserve">zamestnanci </w:t>
      </w:r>
      <w:r>
        <w:rPr>
          <w:color w:val="222222"/>
          <w:sz w:val="20"/>
          <w:szCs w:val="20"/>
        </w:rPr>
        <w:t xml:space="preserve"> Obce Hronovce a zamestnanci rozpočtových organizácií v zriaďovateľskej pôsobnosti obce Hronovce.</w:t>
      </w:r>
    </w:p>
    <w:p w:rsidR="00C93092" w:rsidRPr="00F46A11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Oznamovateľom sa definuje i blízka osoba</w:t>
      </w:r>
      <w:r>
        <w:rPr>
          <w:color w:val="222222"/>
          <w:sz w:val="20"/>
          <w:szCs w:val="20"/>
        </w:rPr>
        <w:t xml:space="preserve"> oznamovateľa , ktorá je v </w:t>
      </w:r>
      <w:r w:rsidRPr="004D69E8">
        <w:rPr>
          <w:color w:val="222222"/>
          <w:sz w:val="20"/>
          <w:szCs w:val="20"/>
        </w:rPr>
        <w:t>je v pracovnoprávnom vzťahu k</w:t>
      </w:r>
      <w:r>
        <w:rPr>
          <w:color w:val="222222"/>
          <w:sz w:val="20"/>
          <w:szCs w:val="20"/>
        </w:rPr>
        <w:t> tomu istému zamestnávateľovi, ako oznamovateľ.</w:t>
      </w:r>
    </w:p>
    <w:p w:rsidR="00C93092" w:rsidRPr="004D69E8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</w:t>
      </w:r>
      <w:r w:rsidRPr="004D69E8">
        <w:rPr>
          <w:color w:val="222222"/>
          <w:sz w:val="20"/>
          <w:szCs w:val="20"/>
        </w:rPr>
        <w:t>známen</w:t>
      </w:r>
      <w:r>
        <w:rPr>
          <w:color w:val="222222"/>
          <w:sz w:val="20"/>
          <w:szCs w:val="20"/>
        </w:rPr>
        <w:t xml:space="preserve">ie je podnet ktorom  sú </w:t>
      </w:r>
      <w:r w:rsidRPr="004D69E8">
        <w:rPr>
          <w:color w:val="222222"/>
          <w:sz w:val="20"/>
          <w:szCs w:val="20"/>
        </w:rPr>
        <w:t>uveden</w:t>
      </w:r>
      <w:r>
        <w:rPr>
          <w:color w:val="222222"/>
          <w:sz w:val="20"/>
          <w:szCs w:val="20"/>
        </w:rPr>
        <w:t>é</w:t>
      </w:r>
      <w:r w:rsidRPr="004D69E8">
        <w:rPr>
          <w:color w:val="222222"/>
          <w:sz w:val="20"/>
          <w:szCs w:val="20"/>
        </w:rPr>
        <w:t xml:space="preserve"> skutočnost</w:t>
      </w:r>
      <w:r>
        <w:rPr>
          <w:color w:val="222222"/>
          <w:sz w:val="20"/>
          <w:szCs w:val="20"/>
        </w:rPr>
        <w:t>i</w:t>
      </w:r>
      <w:r w:rsidRPr="004D69E8">
        <w:rPr>
          <w:color w:val="222222"/>
          <w:sz w:val="20"/>
          <w:szCs w:val="20"/>
        </w:rPr>
        <w:t>, o ktorých sa zamestnanci dozvedeli</w:t>
      </w:r>
      <w:r>
        <w:rPr>
          <w:color w:val="222222"/>
          <w:sz w:val="20"/>
          <w:szCs w:val="20"/>
        </w:rPr>
        <w:t xml:space="preserve"> súvislosti s výkonom svojho zamestnania, povolania, postavenia, alebo funkcie, </w:t>
      </w:r>
      <w:r w:rsidRPr="004D69E8">
        <w:rPr>
          <w:color w:val="222222"/>
          <w:sz w:val="20"/>
          <w:szCs w:val="20"/>
        </w:rPr>
        <w:t>a ktoré môžu významnou mierou prispieť k objasneniu závažnej protispoločenskej činnosti alebo k zisteniu, prípadne usvedčeniu jej páchateľa.</w:t>
      </w:r>
    </w:p>
    <w:p w:rsidR="00C93092" w:rsidRPr="004D69E8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Podnet je oznámenie vrátane anonymného oznámenia a neanonymné podanie fyzickej osoby o inej protispoločenskej činnosti ako závažnej protispoločenskej činnosti v zmysle ods. 6</w:t>
      </w:r>
      <w:r>
        <w:rPr>
          <w:color w:val="222222"/>
          <w:sz w:val="20"/>
          <w:szCs w:val="20"/>
        </w:rPr>
        <w:t xml:space="preserve"> tohto článku</w:t>
      </w:r>
      <w:r w:rsidRPr="004D69E8">
        <w:rPr>
          <w:color w:val="222222"/>
          <w:sz w:val="20"/>
          <w:szCs w:val="20"/>
        </w:rPr>
        <w:t>, o ktorej sa dozvedel v súvislosti s výkonom svojho zamestnania, povolania, postavenia alebo funkcie v podmienkach subjektu.</w:t>
      </w:r>
    </w:p>
    <w:p w:rsidR="00C93092" w:rsidRPr="00633108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633108">
        <w:rPr>
          <w:color w:val="222222"/>
          <w:sz w:val="20"/>
          <w:szCs w:val="20"/>
        </w:rPr>
        <w:t>Závažnou protispoločenskou činnosťou protiprávne konanie, ktoré plynie z obsahu a je</w:t>
      </w:r>
      <w:r>
        <w:rPr>
          <w:color w:val="222222"/>
          <w:sz w:val="20"/>
          <w:szCs w:val="20"/>
        </w:rPr>
        <w:t>:</w:t>
      </w:r>
    </w:p>
    <w:p w:rsidR="00C93092" w:rsidRDefault="00C93092" w:rsidP="00C93092">
      <w:pPr>
        <w:widowControl w:val="0"/>
        <w:numPr>
          <w:ilvl w:val="1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633108">
        <w:rPr>
          <w:color w:val="222222"/>
          <w:sz w:val="20"/>
          <w:szCs w:val="20"/>
        </w:rPr>
        <w:t xml:space="preserve">niektorým z trestných činov poškodzovania finančných záujmov Európskych spoločenstiev </w:t>
      </w:r>
      <w:r w:rsidRPr="00633108">
        <w:rPr>
          <w:sz w:val="20"/>
          <w:szCs w:val="20"/>
        </w:rPr>
        <w:t>podľa § 261 až § 263 T</w:t>
      </w:r>
      <w:r>
        <w:rPr>
          <w:sz w:val="20"/>
          <w:szCs w:val="20"/>
        </w:rPr>
        <w:t>restného zákona</w:t>
      </w:r>
      <w:r w:rsidRPr="00633108">
        <w:rPr>
          <w:sz w:val="20"/>
          <w:szCs w:val="20"/>
        </w:rPr>
        <w:t>, trestným činom machinácie pri verejnom obstarávaní a verejnej dražbe podľa § 266 T</w:t>
      </w:r>
      <w:r>
        <w:rPr>
          <w:sz w:val="20"/>
          <w:szCs w:val="20"/>
        </w:rPr>
        <w:t xml:space="preserve">restného </w:t>
      </w:r>
      <w:proofErr w:type="spellStart"/>
      <w:r>
        <w:rPr>
          <w:sz w:val="20"/>
          <w:szCs w:val="20"/>
        </w:rPr>
        <w:t>zákona</w:t>
      </w:r>
      <w:r w:rsidRPr="00633108">
        <w:rPr>
          <w:sz w:val="20"/>
          <w:szCs w:val="20"/>
        </w:rPr>
        <w:t>,</w:t>
      </w:r>
      <w:r>
        <w:rPr>
          <w:sz w:val="20"/>
          <w:szCs w:val="20"/>
        </w:rPr>
        <w:t>trestné</w:t>
      </w:r>
      <w:proofErr w:type="spellEnd"/>
      <w:r>
        <w:rPr>
          <w:sz w:val="20"/>
          <w:szCs w:val="20"/>
        </w:rPr>
        <w:t xml:space="preserve"> činy verejných činiteľov podľa § 326 až 327a  Trestného zákona ,alebo trestné činy korupcie podľa §328 až 336b Trestného zákona.</w:t>
      </w:r>
      <w:r w:rsidRPr="00633108">
        <w:rPr>
          <w:sz w:val="20"/>
          <w:szCs w:val="20"/>
        </w:rPr>
        <w:t xml:space="preserve"> </w:t>
      </w:r>
    </w:p>
    <w:p w:rsidR="00C93092" w:rsidRPr="00633108" w:rsidRDefault="00C93092" w:rsidP="00C93092">
      <w:pPr>
        <w:widowControl w:val="0"/>
        <w:numPr>
          <w:ilvl w:val="1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633108">
        <w:rPr>
          <w:color w:val="222222"/>
          <w:sz w:val="20"/>
          <w:szCs w:val="20"/>
        </w:rPr>
        <w:t xml:space="preserve"> trestným činom, za ktorý Trestný zákon ustanovuje trest odňatia slobody s hornou hranicou trestnej sadzby prevyšujúcou tri roky, alebo</w:t>
      </w:r>
    </w:p>
    <w:p w:rsidR="00C93092" w:rsidRDefault="00C93092" w:rsidP="00C93092">
      <w:pPr>
        <w:widowControl w:val="0"/>
        <w:numPr>
          <w:ilvl w:val="1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správny delikt</w:t>
      </w:r>
      <w:r w:rsidRPr="00633108">
        <w:rPr>
          <w:color w:val="222222"/>
          <w:sz w:val="20"/>
          <w:szCs w:val="20"/>
        </w:rPr>
        <w:t>, za ktorý možno uložiť pokutu s hornou hranicou</w:t>
      </w:r>
      <w:r>
        <w:rPr>
          <w:color w:val="222222"/>
          <w:sz w:val="20"/>
          <w:szCs w:val="20"/>
        </w:rPr>
        <w:t xml:space="preserve"> určenou výpočtom alebo</w:t>
      </w:r>
    </w:p>
    <w:p w:rsidR="00C93092" w:rsidRPr="00633108" w:rsidRDefault="00C93092" w:rsidP="00C93092">
      <w:pPr>
        <w:widowControl w:val="0"/>
        <w:numPr>
          <w:ilvl w:val="1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správny delikt  ,za ktorý možno uložiť pokutu s hornou hranicou  vo výške najmenej 3</w:t>
      </w:r>
      <w:r w:rsidRPr="00633108">
        <w:rPr>
          <w:color w:val="222222"/>
          <w:sz w:val="20"/>
          <w:szCs w:val="20"/>
        </w:rPr>
        <w:t>0 000 eur.</w:t>
      </w:r>
    </w:p>
    <w:p w:rsidR="00C93092" w:rsidRPr="00633108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633108">
        <w:rPr>
          <w:color w:val="222222"/>
          <w:sz w:val="20"/>
          <w:szCs w:val="20"/>
        </w:rPr>
        <w:t>Anonymný podnet je oznámenie, ktoré neobsahuje meno, priezvisko a adresu trvalého pobytu zamestnanca, ktorý anonymný podnet podáva.</w:t>
      </w:r>
    </w:p>
    <w:p w:rsidR="00C93092" w:rsidRPr="00633108" w:rsidRDefault="00C93092" w:rsidP="00C9309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633108">
        <w:rPr>
          <w:color w:val="222222"/>
          <w:sz w:val="20"/>
          <w:szCs w:val="20"/>
        </w:rPr>
        <w:t xml:space="preserve">Zodpovednou osobou v podmienkach </w:t>
      </w:r>
      <w:r>
        <w:rPr>
          <w:color w:val="222222"/>
          <w:sz w:val="20"/>
          <w:szCs w:val="20"/>
        </w:rPr>
        <w:t>zamestnávateľa na</w:t>
      </w:r>
      <w:r w:rsidRPr="00633108">
        <w:rPr>
          <w:color w:val="222222"/>
          <w:sz w:val="20"/>
          <w:szCs w:val="20"/>
        </w:rPr>
        <w:t xml:space="preserve"> účely prijímania, evidovania a preverovania oznámení a podnetov o protispoločenskej činnosti</w:t>
      </w:r>
      <w:r>
        <w:rPr>
          <w:color w:val="222222"/>
          <w:sz w:val="20"/>
          <w:szCs w:val="20"/>
        </w:rPr>
        <w:t xml:space="preserve"> je .v súlade s ustanovením § 10 odsek 1 zákona č. 54/2019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 xml:space="preserve">. – hlavná kontrolórka obce Mgr. Adriana Kovács  </w:t>
      </w: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Oznamovateľmi sa rozumejú tie osoby, </w:t>
      </w:r>
      <w:r w:rsidRPr="004D69E8">
        <w:rPr>
          <w:color w:val="222222"/>
          <w:sz w:val="20"/>
          <w:szCs w:val="20"/>
        </w:rPr>
        <w:t>ktor</w:t>
      </w:r>
      <w:r>
        <w:rPr>
          <w:color w:val="222222"/>
          <w:sz w:val="20"/>
          <w:szCs w:val="20"/>
        </w:rPr>
        <w:t>é</w:t>
      </w:r>
      <w:r w:rsidRPr="004D69E8">
        <w:rPr>
          <w:color w:val="222222"/>
          <w:sz w:val="20"/>
          <w:szCs w:val="20"/>
        </w:rPr>
        <w:t xml:space="preserve"> sa v súvislosti s výkonom svojho zamestnania v pracovnoprávnom vzťahu,  alebo</w:t>
      </w:r>
      <w:r>
        <w:rPr>
          <w:color w:val="222222"/>
          <w:sz w:val="20"/>
          <w:szCs w:val="20"/>
        </w:rPr>
        <w:t xml:space="preserve"> pri výkone svojej</w:t>
      </w:r>
      <w:r w:rsidRPr="004D69E8">
        <w:rPr>
          <w:color w:val="222222"/>
          <w:sz w:val="20"/>
          <w:szCs w:val="20"/>
        </w:rPr>
        <w:t xml:space="preserve"> funkcie dozvedeli o závažnej protispoločenskej činnosti a urobili o tom v dobrej viere oznámenie alebo podnet zodpovednej osobe.</w:t>
      </w:r>
    </w:p>
    <w:p w:rsidR="00C93092" w:rsidRDefault="00C93092" w:rsidP="00C93092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</w:p>
    <w:p w:rsidR="00C93092" w:rsidRPr="004D69E8" w:rsidRDefault="00C93092" w:rsidP="00C93092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0"/>
          <w:szCs w:val="20"/>
        </w:rPr>
      </w:pP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lastRenderedPageBreak/>
        <w:t>Čl. III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Prijímanie podnetov a oznámení o protispoločenskej činnosti</w:t>
      </w:r>
    </w:p>
    <w:p w:rsidR="00C93092" w:rsidRPr="004D69E8" w:rsidRDefault="00C93092" w:rsidP="00C9309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Podnet alebo oznámenie je adresované/podané výlučne</w:t>
      </w:r>
      <w:r>
        <w:rPr>
          <w:color w:val="222222"/>
          <w:sz w:val="20"/>
          <w:szCs w:val="20"/>
        </w:rPr>
        <w:t xml:space="preserve"> zodpovednej osobe.</w:t>
      </w:r>
      <w:r w:rsidRPr="004D69E8">
        <w:rPr>
          <w:color w:val="222222"/>
          <w:sz w:val="20"/>
          <w:szCs w:val="20"/>
        </w:rPr>
        <w:t xml:space="preserve"> Subjekt v záujme vytvorenia vhodného komunikačného prostredia pre oznamovanie protispoločenskej činnosti zriaďuje písomnú, osobnú, a elektronickú formu podávania podnetu alebo oznámenia.</w:t>
      </w:r>
    </w:p>
    <w:p w:rsidR="00C93092" w:rsidRPr="004D69E8" w:rsidRDefault="00C93092" w:rsidP="00C9309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Podnet alebo oznámenie možn</w:t>
      </w:r>
      <w:r>
        <w:rPr>
          <w:color w:val="222222"/>
          <w:sz w:val="20"/>
          <w:szCs w:val="20"/>
        </w:rPr>
        <w:t xml:space="preserve">o podať  písomne, alebo ústne , na adresu Obce Hronovce, </w:t>
      </w:r>
      <w:r w:rsidRPr="004D69E8">
        <w:rPr>
          <w:color w:val="222222"/>
          <w:sz w:val="20"/>
          <w:szCs w:val="20"/>
        </w:rPr>
        <w:t xml:space="preserve">s uvedením zodpovednej osoby –a slova „Neotvárať“. Zamestnanec podateľne bezodkladne informuje </w:t>
      </w:r>
      <w:r>
        <w:rPr>
          <w:color w:val="222222"/>
          <w:sz w:val="20"/>
          <w:szCs w:val="20"/>
        </w:rPr>
        <w:t>zodpovednú os</w:t>
      </w:r>
      <w:r w:rsidRPr="004D69E8">
        <w:rPr>
          <w:color w:val="222222"/>
          <w:sz w:val="20"/>
          <w:szCs w:val="20"/>
        </w:rPr>
        <w:t>o</w:t>
      </w:r>
      <w:r>
        <w:rPr>
          <w:color w:val="222222"/>
          <w:sz w:val="20"/>
          <w:szCs w:val="20"/>
        </w:rPr>
        <w:t>bu</w:t>
      </w:r>
      <w:r w:rsidRPr="004D69E8">
        <w:rPr>
          <w:color w:val="222222"/>
          <w:sz w:val="20"/>
          <w:szCs w:val="20"/>
        </w:rPr>
        <w:t> prijatí podnetu alebo oznámenia.</w:t>
      </w:r>
    </w:p>
    <w:p w:rsidR="00C93092" w:rsidRPr="004D69E8" w:rsidRDefault="00C93092" w:rsidP="00C9309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Písomný anonymný podnet doručený poštovou prepravou v zalepenej obálke je zamestnancom podateľne zaznamenaný v evidencii došlej pošty s poznámkou „Anonymný podnet v zmysle zákona č. </w:t>
      </w:r>
      <w:r w:rsidRPr="00362655">
        <w:rPr>
          <w:color w:val="222222"/>
          <w:sz w:val="20"/>
          <w:szCs w:val="20"/>
        </w:rPr>
        <w:t>54/2019 Z.</w:t>
      </w:r>
      <w:r>
        <w:rPr>
          <w:color w:val="222222"/>
          <w:sz w:val="20"/>
          <w:szCs w:val="20"/>
        </w:rPr>
        <w:t xml:space="preserve"> </w:t>
      </w:r>
      <w:r w:rsidRPr="00362655">
        <w:rPr>
          <w:color w:val="222222"/>
          <w:sz w:val="20"/>
          <w:szCs w:val="20"/>
        </w:rPr>
        <w:t>z.</w:t>
      </w:r>
      <w:r w:rsidRPr="004D69E8">
        <w:rPr>
          <w:color w:val="222222"/>
          <w:sz w:val="20"/>
          <w:szCs w:val="20"/>
        </w:rPr>
        <w:t xml:space="preserve">.“ Zamestnanec podateľne bezodkladne informuje </w:t>
      </w:r>
      <w:r>
        <w:rPr>
          <w:color w:val="222222"/>
          <w:sz w:val="20"/>
          <w:szCs w:val="20"/>
        </w:rPr>
        <w:t xml:space="preserve">zodpovednú osobu </w:t>
      </w:r>
      <w:r w:rsidRPr="004D69E8">
        <w:rPr>
          <w:color w:val="222222"/>
          <w:sz w:val="20"/>
          <w:szCs w:val="20"/>
        </w:rPr>
        <w:t xml:space="preserve">o prijatí písomného anonymného podnetu. Písomný anonymný podnet, ktorý je podaný osobne bez obálky, je zamestnancom podateľne zaznamenaný v evidencii došlej pošty s poznámkou „Anonymný podnet v zmysle zákona č. </w:t>
      </w:r>
      <w:r w:rsidRPr="00362655">
        <w:rPr>
          <w:color w:val="222222"/>
          <w:sz w:val="20"/>
          <w:szCs w:val="20"/>
        </w:rPr>
        <w:t>54/2019 Z.</w:t>
      </w:r>
      <w:r>
        <w:rPr>
          <w:color w:val="222222"/>
          <w:sz w:val="20"/>
          <w:szCs w:val="20"/>
        </w:rPr>
        <w:t xml:space="preserve"> </w:t>
      </w:r>
      <w:r w:rsidRPr="00362655">
        <w:rPr>
          <w:color w:val="222222"/>
          <w:sz w:val="20"/>
          <w:szCs w:val="20"/>
        </w:rPr>
        <w:t>z.</w:t>
      </w:r>
      <w:r w:rsidRPr="004D69E8">
        <w:rPr>
          <w:color w:val="222222"/>
          <w:sz w:val="20"/>
          <w:szCs w:val="20"/>
        </w:rPr>
        <w:t>.“</w:t>
      </w:r>
    </w:p>
    <w:p w:rsidR="00C93092" w:rsidRDefault="00C93092" w:rsidP="00C9309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Podnet alebo oznámenie možno podať </w:t>
      </w:r>
      <w:r>
        <w:rPr>
          <w:color w:val="222222"/>
          <w:sz w:val="20"/>
          <w:szCs w:val="20"/>
        </w:rPr>
        <w:t xml:space="preserve">aj </w:t>
      </w:r>
      <w:r w:rsidRPr="004D69E8">
        <w:rPr>
          <w:color w:val="222222"/>
          <w:sz w:val="20"/>
          <w:szCs w:val="20"/>
        </w:rPr>
        <w:t xml:space="preserve"> elektro</w:t>
      </w:r>
      <w:r>
        <w:rPr>
          <w:color w:val="222222"/>
          <w:sz w:val="20"/>
          <w:szCs w:val="20"/>
        </w:rPr>
        <w:t>nicky na emailovú adresu  „</w:t>
      </w:r>
      <w:r w:rsidR="008663B6">
        <w:rPr>
          <w:sz w:val="20"/>
          <w:szCs w:val="20"/>
        </w:rPr>
        <w:t>hronovce@nextra.sk</w:t>
      </w:r>
      <w:r w:rsidRPr="00104AAC">
        <w:rPr>
          <w:sz w:val="20"/>
          <w:szCs w:val="20"/>
        </w:rPr>
        <w:t>“</w:t>
      </w:r>
      <w:r>
        <w:rPr>
          <w:color w:val="222222"/>
          <w:sz w:val="20"/>
          <w:szCs w:val="20"/>
        </w:rPr>
        <w:t xml:space="preserve"> </w:t>
      </w:r>
      <w:r w:rsidRPr="004D69E8">
        <w:rPr>
          <w:color w:val="222222"/>
          <w:sz w:val="20"/>
          <w:szCs w:val="20"/>
        </w:rPr>
        <w:t>alebo ústne do záznamu.</w:t>
      </w:r>
    </w:p>
    <w:p w:rsidR="00C93092" w:rsidRPr="004D69E8" w:rsidRDefault="00C93092" w:rsidP="00C9309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O ústnom podaní podnetu alebo oznámenia vyhotoví </w:t>
      </w: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>záznam a následne zaznamená zákonom stanovené náležitosti podania alebo oznámenia do evidencie podnetov.</w:t>
      </w:r>
    </w:p>
    <w:p w:rsidR="00C93092" w:rsidRPr="004D69E8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Čl. IV.</w:t>
      </w:r>
    </w:p>
    <w:p w:rsidR="00C93092" w:rsidRPr="004D69E8" w:rsidRDefault="00C93092" w:rsidP="00C93092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Preverovanie podnetov o protispoločenskej činnosti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Preverovanie podnetu alebo oznámenia vykoná</w:t>
      </w:r>
      <w:r>
        <w:rPr>
          <w:color w:val="222222"/>
          <w:sz w:val="20"/>
          <w:szCs w:val="20"/>
        </w:rPr>
        <w:t xml:space="preserve"> zodpovedná osoba </w:t>
      </w:r>
      <w:r w:rsidRPr="004D69E8">
        <w:rPr>
          <w:color w:val="222222"/>
          <w:sz w:val="20"/>
          <w:szCs w:val="20"/>
        </w:rPr>
        <w:t>, pričom vychádza z obsahu podania alebo oznámenia.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V prípade, ak podanie alebo oznámenie nespĺňa obsahový charakter protispoločenskej činnosti alebo nie je konaním v dobrej viere, oznámi zamestnancovi, ktorý podal podnet, nedodržanie obsahovej náležitosti do desiatich dní od preverenia podnetu, ak nejde o anonymný podnet.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V prípade dodržania obsahovej náležitosti </w:t>
      </w: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>eviduje podnet alebo oznámenie v zmysle čl. V</w:t>
      </w:r>
      <w:r>
        <w:rPr>
          <w:color w:val="222222"/>
          <w:sz w:val="20"/>
          <w:szCs w:val="20"/>
        </w:rPr>
        <w:t>. tejto</w:t>
      </w:r>
      <w:r w:rsidRPr="004D69E8">
        <w:rPr>
          <w:color w:val="222222"/>
          <w:sz w:val="20"/>
          <w:szCs w:val="20"/>
        </w:rPr>
        <w:t> smernice a preverí podnet alebo oznámenie najneskôr do 90 dní od prijatia.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V prípade potreby </w:t>
      </w:r>
      <w:r>
        <w:rPr>
          <w:color w:val="222222"/>
          <w:sz w:val="20"/>
          <w:szCs w:val="20"/>
        </w:rPr>
        <w:t xml:space="preserve">prešetrenia podaného podnetu sa  </w:t>
      </w:r>
      <w:r w:rsidRPr="004D69E8">
        <w:rPr>
          <w:color w:val="222222"/>
          <w:sz w:val="20"/>
          <w:szCs w:val="20"/>
        </w:rPr>
        <w:t xml:space="preserve">lehota na vybavenie podnetu alebo oznámenia </w:t>
      </w:r>
      <w:r>
        <w:rPr>
          <w:color w:val="222222"/>
          <w:sz w:val="20"/>
          <w:szCs w:val="20"/>
        </w:rPr>
        <w:t xml:space="preserve">predlžuje </w:t>
      </w:r>
      <w:r w:rsidRPr="004D69E8">
        <w:rPr>
          <w:color w:val="222222"/>
          <w:sz w:val="20"/>
          <w:szCs w:val="20"/>
        </w:rPr>
        <w:t xml:space="preserve">o ďalších 30 dní, pričom túto skutočnosť ako aj odôvodnenie oznámi </w:t>
      </w: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 xml:space="preserve"> písomne zamestnancovi,</w:t>
      </w:r>
      <w:r>
        <w:rPr>
          <w:color w:val="222222"/>
          <w:sz w:val="20"/>
          <w:szCs w:val="20"/>
        </w:rPr>
        <w:t xml:space="preserve"> </w:t>
      </w:r>
      <w:r w:rsidRPr="004D69E8">
        <w:rPr>
          <w:color w:val="222222"/>
          <w:sz w:val="20"/>
          <w:szCs w:val="20"/>
        </w:rPr>
        <w:t>ktorý podnet alebo oznámenie podal, ak nejde o ano</w:t>
      </w:r>
      <w:r>
        <w:rPr>
          <w:color w:val="222222"/>
          <w:sz w:val="20"/>
          <w:szCs w:val="20"/>
        </w:rPr>
        <w:t>nymný podnet. Za preverenie oznámenia sa považuje aj postúpenie veci na vybavenie podľa Trestného poriadku alebo osobitných predpisov.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>má právo v prípade potreby vyžadovať od zamestnanca potrebnú súčinnosť pre riadne preverenie oznámenia</w:t>
      </w:r>
      <w:r>
        <w:rPr>
          <w:color w:val="222222"/>
          <w:sz w:val="20"/>
          <w:szCs w:val="20"/>
        </w:rPr>
        <w:t xml:space="preserve"> a doloženie všetkých potrebných údajov a písomností, ktoré osvedčujú skutočnosti uvedené v oznámení</w:t>
      </w:r>
      <w:r w:rsidRPr="004D69E8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Súčinnosť nie je možné poskytnúť ústne.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K prevereniu skutočností plynúcich z podnetu alebo oznámenia má</w:t>
      </w:r>
      <w:r>
        <w:rPr>
          <w:color w:val="222222"/>
          <w:sz w:val="20"/>
          <w:szCs w:val="20"/>
        </w:rPr>
        <w:t xml:space="preserve"> zodpovedná osoba </w:t>
      </w:r>
      <w:r w:rsidRPr="004D69E8">
        <w:rPr>
          <w:color w:val="222222"/>
          <w:sz w:val="20"/>
          <w:szCs w:val="20"/>
        </w:rPr>
        <w:t xml:space="preserve"> právo  požiadať zamestnávateľa o potrebnú súčinnosť.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V procese preverenia podnetu alebo oznámenia je </w:t>
      </w: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>povinn</w:t>
      </w:r>
      <w:r>
        <w:rPr>
          <w:color w:val="222222"/>
          <w:sz w:val="20"/>
          <w:szCs w:val="20"/>
        </w:rPr>
        <w:t>á</w:t>
      </w:r>
      <w:r w:rsidRPr="004D69E8">
        <w:rPr>
          <w:color w:val="222222"/>
          <w:sz w:val="20"/>
          <w:szCs w:val="20"/>
        </w:rPr>
        <w:t xml:space="preserve"> zachovávať mlčanlivosť o skutočnostiach plynúcich z podnetu alebo oznámenia, ako aj z potrebnej súčinnosti.</w:t>
      </w:r>
    </w:p>
    <w:p w:rsidR="00C93092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Žiadosť o poskytnutie ochrany v rámci závažnej protispoločenskej činnosti, ktorá je trestným činom,</w:t>
      </w:r>
      <w:r>
        <w:rPr>
          <w:color w:val="222222"/>
          <w:sz w:val="20"/>
          <w:szCs w:val="20"/>
        </w:rPr>
        <w:t xml:space="preserve"> </w:t>
      </w:r>
      <w:r w:rsidRPr="004D69E8">
        <w:rPr>
          <w:color w:val="222222"/>
          <w:sz w:val="20"/>
          <w:szCs w:val="20"/>
        </w:rPr>
        <w:t>ak bola podaná spolu s podaním alebo oznámením (písomne alebo ústne)</w:t>
      </w:r>
      <w:r>
        <w:rPr>
          <w:color w:val="222222"/>
          <w:sz w:val="20"/>
          <w:szCs w:val="20"/>
        </w:rPr>
        <w:t xml:space="preserve"> zodpovednej osobe</w:t>
      </w:r>
      <w:r w:rsidRPr="004D69E8">
        <w:rPr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 xml:space="preserve">táto bez zbytočného odkladu po zistení, že ide o trestný čin, </w:t>
      </w:r>
      <w:r w:rsidRPr="004D69E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je povinná podnet </w:t>
      </w:r>
      <w:r w:rsidRPr="004D69E8">
        <w:rPr>
          <w:color w:val="222222"/>
          <w:sz w:val="20"/>
          <w:szCs w:val="20"/>
        </w:rPr>
        <w:t>post</w:t>
      </w:r>
      <w:r>
        <w:rPr>
          <w:color w:val="222222"/>
          <w:sz w:val="20"/>
          <w:szCs w:val="20"/>
        </w:rPr>
        <w:t>ú</w:t>
      </w:r>
      <w:r w:rsidRPr="004D69E8">
        <w:rPr>
          <w:color w:val="222222"/>
          <w:sz w:val="20"/>
          <w:szCs w:val="20"/>
        </w:rPr>
        <w:t>p</w:t>
      </w:r>
      <w:r>
        <w:rPr>
          <w:color w:val="222222"/>
          <w:sz w:val="20"/>
          <w:szCs w:val="20"/>
        </w:rPr>
        <w:t>iť</w:t>
      </w:r>
      <w:r w:rsidRPr="004D69E8">
        <w:rPr>
          <w:color w:val="222222"/>
          <w:sz w:val="20"/>
          <w:szCs w:val="20"/>
        </w:rPr>
        <w:t xml:space="preserve"> na prokuratúru alebo </w:t>
      </w:r>
      <w:r>
        <w:rPr>
          <w:color w:val="222222"/>
          <w:sz w:val="20"/>
          <w:szCs w:val="20"/>
        </w:rPr>
        <w:t xml:space="preserve">príslušnému policajnému orgánu a tieto skutočnosti oznámiť aj príslušnému súdu. 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Oznamovateľ môže namiesto ochrany podľa §7 zákona č. 54/2019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 xml:space="preserve">. požiadať správny orgán o vydanie písomného </w:t>
      </w:r>
      <w:proofErr w:type="spellStart"/>
      <w:r>
        <w:rPr>
          <w:color w:val="222222"/>
          <w:sz w:val="20"/>
          <w:szCs w:val="20"/>
        </w:rPr>
        <w:t>potvrdenia,že</w:t>
      </w:r>
      <w:proofErr w:type="spellEnd"/>
      <w:r>
        <w:rPr>
          <w:color w:val="222222"/>
          <w:sz w:val="20"/>
          <w:szCs w:val="20"/>
        </w:rPr>
        <w:t xml:space="preserve"> urobil kvalifikované podanie .</w:t>
      </w:r>
    </w:p>
    <w:p w:rsidR="00C93092" w:rsidRPr="004D69E8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Žiadosť o poskytnutie ochrany v rámci závažnej protispoločenskej činnosti, ktorá je správnym deliktom oznámená písomne alebo ústne</w:t>
      </w:r>
      <w:r>
        <w:rPr>
          <w:color w:val="222222"/>
          <w:sz w:val="20"/>
          <w:szCs w:val="20"/>
        </w:rPr>
        <w:t xml:space="preserve"> zodpovednej osobe, </w:t>
      </w:r>
      <w:r w:rsidRPr="004D69E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zodpovedná osoba ju bez zbytočného odkladu </w:t>
      </w:r>
      <w:r w:rsidRPr="004D69E8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posiela aj so stručným odôvodnením správnemu </w:t>
      </w:r>
      <w:r w:rsidRPr="004D69E8">
        <w:rPr>
          <w:color w:val="222222"/>
          <w:sz w:val="20"/>
          <w:szCs w:val="20"/>
        </w:rPr>
        <w:t>orgánu, ktorý je príslušný na konanie o správnom delikte.</w:t>
      </w:r>
    </w:p>
    <w:p w:rsidR="00C93092" w:rsidRDefault="00C93092" w:rsidP="00C9309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V prípade žiadosti o súčinnosť v rámci preverenia oznámenia alebo podnetu sú osoby, ktoré boli požiadané o potrebnú súčinnosť, povinné zachovávať mlčanlivosť o skutočnostiach, o ktorých sa dozvedeli prostredníctvom</w:t>
      </w:r>
      <w:r>
        <w:rPr>
          <w:color w:val="222222"/>
          <w:sz w:val="20"/>
          <w:szCs w:val="20"/>
        </w:rPr>
        <w:t xml:space="preserve"> vyžiadania prostredníctvom zodpovednej osoby v rámci činnosti na preverenie skutočností uvedených v oznámení</w:t>
      </w:r>
      <w:r w:rsidRPr="004D69E8">
        <w:rPr>
          <w:color w:val="222222"/>
          <w:sz w:val="20"/>
          <w:szCs w:val="20"/>
        </w:rPr>
        <w:t>.</w:t>
      </w:r>
    </w:p>
    <w:p w:rsidR="00C93092" w:rsidRPr="004D69E8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ind w:left="360"/>
        <w:jc w:val="both"/>
        <w:rPr>
          <w:color w:val="222222"/>
          <w:sz w:val="20"/>
          <w:szCs w:val="20"/>
        </w:rPr>
      </w:pP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lastRenderedPageBreak/>
        <w:t>Čl. V.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Výsledok preverenia podnetu alebo oznámenia o protispoločenskej činnosti</w:t>
      </w:r>
    </w:p>
    <w:p w:rsidR="00C93092" w:rsidRPr="004D69E8" w:rsidRDefault="00C93092" w:rsidP="00C93092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Zodpovedná osoba </w:t>
      </w:r>
      <w:r w:rsidRPr="004D69E8">
        <w:rPr>
          <w:color w:val="222222"/>
          <w:sz w:val="20"/>
          <w:szCs w:val="20"/>
        </w:rPr>
        <w:t>je povinn</w:t>
      </w:r>
      <w:r>
        <w:rPr>
          <w:color w:val="222222"/>
          <w:sz w:val="20"/>
          <w:szCs w:val="20"/>
        </w:rPr>
        <w:t>á</w:t>
      </w:r>
      <w:r w:rsidRPr="004D69E8">
        <w:rPr>
          <w:color w:val="222222"/>
          <w:sz w:val="20"/>
          <w:szCs w:val="20"/>
        </w:rPr>
        <w:t xml:space="preserve"> oznámiť osobe, ktorá podala podnet, výsledok jeho preverenia do desiatich dní od dátumu skončenia preverenia podnetu alebo oznámenia.</w:t>
      </w:r>
      <w:r>
        <w:rPr>
          <w:color w:val="222222"/>
          <w:sz w:val="20"/>
          <w:szCs w:val="20"/>
        </w:rPr>
        <w:t xml:space="preserve"> Ak bolo preverenie oznámenia, podania skončené postúpením veci na vybavenie podľa Trestného poriadku, alebo osobitných predpisov, zodpovedná osoba si vyžiada výsledok vybavenia, v rozsahu ,ako to umožňuje osobitný predpis ,a do desiatich dní od doručenia tohto výsledku s ním oboznámi aj oznamovateľa.</w:t>
      </w:r>
    </w:p>
    <w:p w:rsidR="00C93092" w:rsidRPr="004D69E8" w:rsidRDefault="00C93092" w:rsidP="00C93092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 xml:space="preserve">V prípade opätovného podnetu alebo oznámenia, ktoré je zaslané tým istým zamestnancom, sa bude </w:t>
      </w:r>
      <w:r>
        <w:rPr>
          <w:color w:val="222222"/>
          <w:sz w:val="20"/>
          <w:szCs w:val="20"/>
        </w:rPr>
        <w:t xml:space="preserve">ním zodpovedná osoba </w:t>
      </w:r>
      <w:r w:rsidRPr="004D69E8">
        <w:rPr>
          <w:color w:val="222222"/>
          <w:sz w:val="20"/>
          <w:szCs w:val="20"/>
        </w:rPr>
        <w:t>opätovne zaoberať.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Čl. VI.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Evidovanie podnetov alebo oznámení</w:t>
      </w:r>
    </w:p>
    <w:p w:rsidR="00C93092" w:rsidRPr="004D69E8" w:rsidRDefault="00C93092" w:rsidP="00C93092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Zamestnávateľ je povinný  viesť  evidenciu oznámení, podnetov  / viď Príloha č. 1 tejto internej smernice/</w:t>
      </w:r>
    </w:p>
    <w:p w:rsidR="00C93092" w:rsidRPr="004D69E8" w:rsidRDefault="00C93092" w:rsidP="00C93092">
      <w:pPr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dátum doručenia  oznámenia, podnetu</w:t>
      </w:r>
      <w:r w:rsidRPr="004D69E8">
        <w:rPr>
          <w:color w:val="222222"/>
          <w:sz w:val="20"/>
          <w:szCs w:val="20"/>
        </w:rPr>
        <w:t>,</w:t>
      </w:r>
    </w:p>
    <w:p w:rsidR="00C93092" w:rsidRPr="004D69E8" w:rsidRDefault="00C93092" w:rsidP="00C93092">
      <w:pPr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meno, priezvisko a adresa oznamovateľa</w:t>
      </w:r>
      <w:r w:rsidRPr="004D69E8">
        <w:rPr>
          <w:color w:val="222222"/>
          <w:sz w:val="20"/>
          <w:szCs w:val="20"/>
        </w:rPr>
        <w:t>; ak ide o anonymný podnet, uvedie sa iba poz</w:t>
      </w:r>
      <w:r>
        <w:rPr>
          <w:color w:val="222222"/>
          <w:sz w:val="20"/>
          <w:szCs w:val="20"/>
        </w:rPr>
        <w:t xml:space="preserve">námka, že ide o anonymné oznámenie </w:t>
      </w:r>
    </w:p>
    <w:p w:rsidR="00C93092" w:rsidRPr="004D69E8" w:rsidRDefault="00C93092" w:rsidP="00C93092">
      <w:pPr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predmet  oznámenia </w:t>
      </w:r>
    </w:p>
    <w:p w:rsidR="00C93092" w:rsidRPr="004D69E8" w:rsidRDefault="00C93092" w:rsidP="00C93092">
      <w:pPr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vý</w:t>
      </w:r>
      <w:r>
        <w:rPr>
          <w:color w:val="222222"/>
          <w:sz w:val="20"/>
          <w:szCs w:val="20"/>
        </w:rPr>
        <w:t xml:space="preserve">sledok preverenia oznámenia </w:t>
      </w:r>
    </w:p>
    <w:p w:rsidR="00C93092" w:rsidRPr="004D69E8" w:rsidRDefault="00C93092" w:rsidP="00C93092">
      <w:pPr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dát</w:t>
      </w:r>
      <w:r>
        <w:rPr>
          <w:color w:val="222222"/>
          <w:sz w:val="20"/>
          <w:szCs w:val="20"/>
        </w:rPr>
        <w:t>um skončenia preverenia  oznámenia</w:t>
      </w:r>
    </w:p>
    <w:p w:rsidR="00C93092" w:rsidRDefault="00C93092" w:rsidP="00C93092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Predmetná evidencia jednotlivého podnetu alebo oznámenia je vedená po dobu troch rokov od dátumu doručenia podnetu, či oznámenia alebo jeho ústneho záznamu.</w:t>
      </w:r>
    </w:p>
    <w:p w:rsidR="00C93092" w:rsidRPr="004D69E8" w:rsidRDefault="00C93092" w:rsidP="00C93092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Každé prijaté oznámenie ,podnet  zaeviduje zodpovedná osoba v evidencii podnetov, oznámení pod číslom oznámenia,  poradové číslo, dátum doručenia a rok doručenia.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Čl. VII.</w:t>
      </w:r>
    </w:p>
    <w:p w:rsidR="00C93092" w:rsidRPr="004D69E8" w:rsidRDefault="00C93092" w:rsidP="00C93092">
      <w:pPr>
        <w:shd w:val="clear" w:color="auto" w:fill="FFFFFF"/>
        <w:jc w:val="center"/>
        <w:rPr>
          <w:color w:val="222222"/>
          <w:sz w:val="20"/>
          <w:szCs w:val="20"/>
        </w:rPr>
      </w:pPr>
      <w:r w:rsidRPr="004D69E8">
        <w:rPr>
          <w:b/>
          <w:bCs/>
          <w:color w:val="222222"/>
          <w:sz w:val="20"/>
          <w:szCs w:val="20"/>
        </w:rPr>
        <w:t>Záverečné a spoločné ustanovenia</w:t>
      </w:r>
    </w:p>
    <w:p w:rsidR="00C93092" w:rsidRPr="004D69E8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Zamestnávateľ  </w:t>
      </w:r>
      <w:r w:rsidRPr="004D69E8">
        <w:rPr>
          <w:color w:val="222222"/>
          <w:sz w:val="20"/>
          <w:szCs w:val="20"/>
        </w:rPr>
        <w:t>zabezpečí označenie zodpovednej osoby a spôsob podávania podnetov a zároveň o účinnosti smernice upovedomí svojich zamestnancov pri výkone práce</w:t>
      </w:r>
      <w:r>
        <w:rPr>
          <w:color w:val="222222"/>
          <w:sz w:val="20"/>
          <w:szCs w:val="20"/>
        </w:rPr>
        <w:t xml:space="preserve"> pre ňu.</w:t>
      </w:r>
    </w:p>
    <w:p w:rsidR="00C93092" w:rsidRPr="004D69E8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4D69E8">
        <w:rPr>
          <w:color w:val="222222"/>
          <w:sz w:val="20"/>
          <w:szCs w:val="20"/>
        </w:rPr>
        <w:t>Oznamovanie protispoločenskej činnosti sa nepovažuje za porušenie zmluvnej povinnosti zachovávať mlčanlivosť ani za porušenie povinnosti zachovávať mlčanlivosť.</w:t>
      </w:r>
    </w:p>
    <w:p w:rsidR="00C93092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362655">
        <w:rPr>
          <w:color w:val="222222"/>
          <w:sz w:val="20"/>
          <w:szCs w:val="20"/>
        </w:rPr>
        <w:t>Práva plynúce zamestnancovi vo vzťahu k podaniu alebo oznámeniu skutočností o protispoločenskej činnosti sú definované v ustanoveniach </w:t>
      </w:r>
      <w:r w:rsidRPr="00362655">
        <w:rPr>
          <w:b/>
          <w:bCs/>
          <w:color w:val="222222"/>
          <w:sz w:val="20"/>
          <w:szCs w:val="20"/>
        </w:rPr>
        <w:t>§ 3 až § 10</w:t>
      </w:r>
      <w:r w:rsidRPr="00362655">
        <w:rPr>
          <w:color w:val="222222"/>
          <w:sz w:val="20"/>
          <w:szCs w:val="20"/>
        </w:rPr>
        <w:t>, </w:t>
      </w:r>
      <w:r w:rsidRPr="00362655">
        <w:rPr>
          <w:b/>
          <w:bCs/>
          <w:color w:val="222222"/>
          <w:sz w:val="20"/>
          <w:szCs w:val="20"/>
        </w:rPr>
        <w:t>§ 13</w:t>
      </w:r>
      <w:r w:rsidRPr="00362655">
        <w:rPr>
          <w:color w:val="222222"/>
          <w:sz w:val="20"/>
          <w:szCs w:val="20"/>
        </w:rPr>
        <w:t> a </w:t>
      </w:r>
      <w:r w:rsidRPr="00362655">
        <w:rPr>
          <w:b/>
          <w:bCs/>
          <w:color w:val="222222"/>
          <w:sz w:val="20"/>
          <w:szCs w:val="20"/>
        </w:rPr>
        <w:t>§ 16</w:t>
      </w:r>
      <w:r w:rsidRPr="00362655">
        <w:rPr>
          <w:color w:val="222222"/>
          <w:sz w:val="20"/>
          <w:szCs w:val="20"/>
        </w:rPr>
        <w:t xml:space="preserve"> zákona č. 54/2019 Z. z.. o ochrane oznamovateľov protispoločenskej činnosti a o zmene a doplnení niektorých zákonov </w:t>
      </w:r>
    </w:p>
    <w:p w:rsidR="00C93092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Na konanie začaté a právoplatne neskončené do 28.februára 2019 sa vzťahuje zákon č. 307/2014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 xml:space="preserve">. o niektorých opatreniach súvisiacich s oznamovaním protispoločenskej činnosti a o zmene a doplnení niektorých zákonov v znení zákona č. 125/2016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>.</w:t>
      </w:r>
    </w:p>
    <w:p w:rsidR="00C93092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Účinnosťou tejto smernice , končí platnosť Smernice  o pravidlách uplatňovania zákona NR SR č. 307/2014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 xml:space="preserve">. o niektorých opatreniach súvisiacich s oznamovaním protispoločenskej činnosti a o zmene a doplnení niektorých zákonov v podmienkach Obce Hronovce. </w:t>
      </w:r>
    </w:p>
    <w:p w:rsidR="00C93092" w:rsidRDefault="00C93092" w:rsidP="00C93092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color w:val="222222"/>
          <w:sz w:val="20"/>
          <w:szCs w:val="20"/>
        </w:rPr>
      </w:pPr>
      <w:r w:rsidRPr="00362655">
        <w:rPr>
          <w:color w:val="222222"/>
          <w:sz w:val="20"/>
          <w:szCs w:val="20"/>
        </w:rPr>
        <w:t>Sme</w:t>
      </w:r>
      <w:r>
        <w:rPr>
          <w:color w:val="222222"/>
          <w:sz w:val="20"/>
          <w:szCs w:val="20"/>
        </w:rPr>
        <w:t>rnica vrátane príloh  nadobúda účinnosť dňa  30</w:t>
      </w:r>
      <w:bookmarkStart w:id="0" w:name="_GoBack"/>
      <w:bookmarkEnd w:id="0"/>
      <w:r>
        <w:rPr>
          <w:color w:val="222222"/>
          <w:sz w:val="20"/>
          <w:szCs w:val="20"/>
        </w:rPr>
        <w:t>.09.2019,.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 Prílohy: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1. príloha č. 1 Evidencia oznámení v zmysle zákona č. 54/2019 </w:t>
      </w:r>
      <w:proofErr w:type="spellStart"/>
      <w:r>
        <w:rPr>
          <w:color w:val="222222"/>
          <w:sz w:val="20"/>
          <w:szCs w:val="20"/>
        </w:rPr>
        <w:t>Z.z</w:t>
      </w:r>
      <w:proofErr w:type="spellEnd"/>
      <w:r>
        <w:rPr>
          <w:color w:val="222222"/>
          <w:sz w:val="20"/>
          <w:szCs w:val="20"/>
        </w:rPr>
        <w:t>.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   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     </w:t>
      </w:r>
      <w:r>
        <w:rPr>
          <w:color w:val="222222"/>
          <w:sz w:val="20"/>
          <w:szCs w:val="20"/>
        </w:rPr>
        <w:tab/>
        <w:t xml:space="preserve">                           Róbert C s u d a i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                starosta obce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ind w:left="360"/>
        <w:rPr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ind w:left="3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Príloha č. 1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ind w:left="360"/>
        <w:rPr>
          <w:color w:val="222222"/>
          <w:sz w:val="20"/>
          <w:szCs w:val="20"/>
        </w:rPr>
      </w:pP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ab/>
      </w:r>
      <w:r>
        <w:rPr>
          <w:b/>
          <w:bCs/>
          <w:color w:val="222222"/>
          <w:sz w:val="28"/>
          <w:szCs w:val="28"/>
        </w:rPr>
        <w:tab/>
        <w:t xml:space="preserve">  </w:t>
      </w:r>
      <w:r w:rsidRPr="008113BB">
        <w:rPr>
          <w:b/>
          <w:bCs/>
          <w:color w:val="222222"/>
          <w:sz w:val="28"/>
          <w:szCs w:val="28"/>
        </w:rPr>
        <w:t xml:space="preserve">Evidencia oznámení v zmysle zákona č. 54/2019 </w:t>
      </w:r>
      <w:proofErr w:type="spellStart"/>
      <w:r w:rsidRPr="008113BB">
        <w:rPr>
          <w:b/>
          <w:bCs/>
          <w:color w:val="222222"/>
          <w:sz w:val="28"/>
          <w:szCs w:val="28"/>
        </w:rPr>
        <w:t>Z.z</w:t>
      </w:r>
      <w:proofErr w:type="spellEnd"/>
      <w:r w:rsidRPr="008113BB">
        <w:rPr>
          <w:b/>
          <w:bCs/>
          <w:color w:val="222222"/>
          <w:sz w:val="28"/>
          <w:szCs w:val="28"/>
        </w:rPr>
        <w:t>.</w:t>
      </w:r>
    </w:p>
    <w:p w:rsidR="00C93092" w:rsidRDefault="00C93092" w:rsidP="00C93092">
      <w:pPr>
        <w:shd w:val="clear" w:color="auto" w:fill="FFFFFF"/>
        <w:tabs>
          <w:tab w:val="left" w:pos="720"/>
        </w:tabs>
        <w:spacing w:before="100" w:beforeAutospacing="1" w:after="100" w:afterAutospacing="1"/>
        <w:rPr>
          <w:b/>
          <w:bCs/>
          <w:color w:val="222222"/>
          <w:sz w:val="28"/>
          <w:szCs w:val="28"/>
        </w:rPr>
      </w:pPr>
    </w:p>
    <w:tbl>
      <w:tblPr>
        <w:tblStyle w:val="Mriekatabuky"/>
        <w:tblW w:w="0" w:type="auto"/>
        <w:tblLook w:val="01E0"/>
      </w:tblPr>
      <w:tblGrid>
        <w:gridCol w:w="1516"/>
        <w:gridCol w:w="3222"/>
        <w:gridCol w:w="1516"/>
        <w:gridCol w:w="1517"/>
        <w:gridCol w:w="1517"/>
      </w:tblGrid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dátum doručenia oznámenia</w:t>
            </w: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meno, priezvisko a pobyt </w:t>
            </w:r>
            <w:proofErr w:type="spellStart"/>
            <w:r>
              <w:rPr>
                <w:b/>
                <w:bCs/>
                <w:color w:val="222222"/>
              </w:rPr>
              <w:t>doručovateľa,príp.poznámka</w:t>
            </w:r>
            <w:proofErr w:type="spellEnd"/>
            <w:r>
              <w:rPr>
                <w:b/>
                <w:bCs/>
                <w:color w:val="222222"/>
              </w:rPr>
              <w:t xml:space="preserve"> anonymné oznámenie</w:t>
            </w: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predmet oznámenia</w:t>
            </w: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výsledok preverenia oznámenia</w:t>
            </w: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dátum skončenia preverenia podnetu </w:t>
            </w: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  <w:tr w:rsidR="00C93092" w:rsidTr="0092024B"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2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  <w:tc>
          <w:tcPr>
            <w:tcW w:w="1843" w:type="dxa"/>
          </w:tcPr>
          <w:p w:rsidR="00C93092" w:rsidRDefault="00C93092" w:rsidP="0092024B">
            <w:pPr>
              <w:tabs>
                <w:tab w:val="left" w:pos="720"/>
              </w:tabs>
              <w:spacing w:before="100" w:beforeAutospacing="1" w:after="100" w:afterAutospacing="1"/>
              <w:rPr>
                <w:b/>
                <w:bCs/>
                <w:color w:val="222222"/>
              </w:rPr>
            </w:pPr>
          </w:p>
        </w:tc>
      </w:tr>
    </w:tbl>
    <w:p w:rsidR="00CD4635" w:rsidRPr="00C93092" w:rsidRDefault="00CD4635" w:rsidP="00C93092">
      <w:pPr>
        <w:rPr>
          <w:szCs w:val="28"/>
        </w:rPr>
      </w:pPr>
    </w:p>
    <w:sectPr w:rsidR="00CD4635" w:rsidRPr="00C93092" w:rsidSect="0052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174"/>
    <w:multiLevelType w:val="hybridMultilevel"/>
    <w:tmpl w:val="CDBE9FB4"/>
    <w:lvl w:ilvl="0" w:tplc="C016816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24059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D1C6064"/>
    <w:multiLevelType w:val="hybridMultilevel"/>
    <w:tmpl w:val="27FEA064"/>
    <w:lvl w:ilvl="0" w:tplc="AD065FA2">
      <w:start w:val="1"/>
      <w:numFmt w:val="decimal"/>
      <w:lvlText w:val="%1.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5630B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257E02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32CF7F7D"/>
    <w:multiLevelType w:val="hybridMultilevel"/>
    <w:tmpl w:val="863413C4"/>
    <w:lvl w:ilvl="0" w:tplc="9C420A40">
      <w:start w:val="4"/>
      <w:numFmt w:val="lowerLetter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F556745"/>
    <w:multiLevelType w:val="hybridMultilevel"/>
    <w:tmpl w:val="207A6464"/>
    <w:lvl w:ilvl="0" w:tplc="194AAAE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09547A"/>
    <w:multiLevelType w:val="hybridMultilevel"/>
    <w:tmpl w:val="3CA6FA46"/>
    <w:lvl w:ilvl="0" w:tplc="D9F08D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9E26F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6A5500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6E8F2FB6"/>
    <w:multiLevelType w:val="hybridMultilevel"/>
    <w:tmpl w:val="82884148"/>
    <w:lvl w:ilvl="0" w:tplc="2C74EA50">
      <w:start w:val="1"/>
      <w:numFmt w:val="lowerLetter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2F57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7CA93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4635"/>
    <w:rsid w:val="000B28F5"/>
    <w:rsid w:val="002D672E"/>
    <w:rsid w:val="003F49B6"/>
    <w:rsid w:val="00521690"/>
    <w:rsid w:val="005A1E60"/>
    <w:rsid w:val="00665864"/>
    <w:rsid w:val="008663B6"/>
    <w:rsid w:val="00990901"/>
    <w:rsid w:val="009940A3"/>
    <w:rsid w:val="00B12E0C"/>
    <w:rsid w:val="00C93092"/>
    <w:rsid w:val="00CD4635"/>
    <w:rsid w:val="00E87F16"/>
    <w:rsid w:val="00EF6D4A"/>
    <w:rsid w:val="00F015F1"/>
    <w:rsid w:val="00F2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864"/>
    <w:pPr>
      <w:ind w:left="720"/>
      <w:contextualSpacing/>
    </w:pPr>
  </w:style>
  <w:style w:type="table" w:styleId="Mriekatabuky">
    <w:name w:val="Table Grid"/>
    <w:basedOn w:val="Normlnatabuka"/>
    <w:uiPriority w:val="99"/>
    <w:rsid w:val="00C93092"/>
    <w:pPr>
      <w:widowControl w:val="0"/>
      <w:autoSpaceDE w:val="0"/>
      <w:autoSpaceDN w:val="0"/>
      <w:adjustRightInd w:val="0"/>
      <w:spacing w:after="0" w:line="275" w:lineRule="auto"/>
    </w:pPr>
    <w:rPr>
      <w:rFonts w:ascii="Calibri" w:eastAsia="Times New Roman" w:hAnsi="Calibri" w:cs="Calibri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GutyanovaA</dc:creator>
  <cp:lastModifiedBy>GutyanovaA</cp:lastModifiedBy>
  <cp:revision>9</cp:revision>
  <cp:lastPrinted>2019-10-03T12:43:00Z</cp:lastPrinted>
  <dcterms:created xsi:type="dcterms:W3CDTF">2019-09-20T11:16:00Z</dcterms:created>
  <dcterms:modified xsi:type="dcterms:W3CDTF">2019-10-04T11:58:00Z</dcterms:modified>
</cp:coreProperties>
</file>